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7"/>
        <w:tblW w:w="103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372"/>
        <w:gridCol w:w="1892"/>
        <w:gridCol w:w="4091"/>
      </w:tblGrid>
      <w:tr w:rsidR="00A53323" w:rsidTr="00A53323">
        <w:trPr>
          <w:trHeight w:val="1993"/>
        </w:trPr>
        <w:tc>
          <w:tcPr>
            <w:tcW w:w="44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3323" w:rsidRDefault="00A53323" w:rsidP="00A53323">
            <w:pPr>
              <w:spacing w:line="240" w:lineRule="auto"/>
              <w:jc w:val="center"/>
              <w:rPr>
                <w:b/>
                <w:spacing w:val="28"/>
                <w:lang w:val="be-BY"/>
              </w:rPr>
            </w:pPr>
            <w:bookmarkStart w:id="0" w:name="_GoBack"/>
            <w:bookmarkEnd w:id="0"/>
            <w:r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ӘЛШӘЙ РАЙОНЫ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МУНИЦИПАЛЬ РАЙОНЫНЫҢ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ТОРОНТАЙЫШ АУЫЛ СОВЕТЫ</w:t>
            </w:r>
          </w:p>
          <w:p w:rsidR="00A53323" w:rsidRDefault="00A53323" w:rsidP="00A53323">
            <w:pPr>
              <w:spacing w:line="240" w:lineRule="auto"/>
              <w:jc w:val="center"/>
              <w:rPr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АУЫЛ БИЛӘМӘҺЕ СОВЕТЫ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АУЫЛ СОВЕТЫ)</w:t>
            </w:r>
          </w:p>
          <w:p w:rsidR="00A53323" w:rsidRDefault="00A53323" w:rsidP="00A53323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3323" w:rsidRDefault="00FF3D67" w:rsidP="00A53323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23" w:rsidRDefault="00A53323" w:rsidP="00A53323">
            <w:pPr>
              <w:spacing w:line="240" w:lineRule="auto"/>
            </w:pPr>
          </w:p>
          <w:p w:rsidR="00A53323" w:rsidRDefault="00A53323" w:rsidP="00A53323">
            <w:pPr>
              <w:spacing w:line="240" w:lineRule="auto"/>
            </w:pPr>
          </w:p>
          <w:p w:rsidR="00A53323" w:rsidRDefault="00A53323" w:rsidP="00A53323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3323" w:rsidRDefault="00A53323" w:rsidP="00A53323">
            <w:pPr>
              <w:spacing w:line="240" w:lineRule="auto"/>
              <w:ind w:firstLine="0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РЕСПУБЛИКАБАШКОРТОСТАН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ТРУНТАИШЕВСКИЙ СЕЛЬСОВЕТ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МУНИЦИПАЛЬНОГО РАЙОНА</w:t>
            </w:r>
          </w:p>
          <w:p w:rsidR="00A53323" w:rsidRDefault="00A53323" w:rsidP="00A53323">
            <w:pPr>
              <w:spacing w:line="240" w:lineRule="auto"/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АЛЬШЕЕВСКИЙ РАЙОН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ТРУНТАИШЕВСКИЙ СЕЛЬСОВЕТ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53323" w:rsidRDefault="00A53323" w:rsidP="00A53323">
            <w:pPr>
              <w:pStyle w:val="a8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A53323" w:rsidRDefault="00A53323" w:rsidP="00A53323">
            <w:pPr>
              <w:spacing w:line="240" w:lineRule="auto"/>
              <w:jc w:val="center"/>
              <w:rPr>
                <w:sz w:val="18"/>
              </w:rPr>
            </w:pPr>
          </w:p>
        </w:tc>
      </w:tr>
    </w:tbl>
    <w:p w:rsidR="00A53323" w:rsidRDefault="00A53323" w:rsidP="00A53323">
      <w:pPr>
        <w:pStyle w:val="a6"/>
        <w:tabs>
          <w:tab w:val="left" w:pos="3228"/>
        </w:tabs>
        <w:rPr>
          <w:lang w:eastAsia="x-none"/>
        </w:rPr>
      </w:pPr>
      <w:r>
        <w:rPr>
          <w:lang w:eastAsia="x-none"/>
        </w:rPr>
        <w:t xml:space="preserve">        </w:t>
      </w:r>
    </w:p>
    <w:p w:rsidR="00A53323" w:rsidRDefault="00A53323" w:rsidP="00A53323">
      <w:pPr>
        <w:pStyle w:val="a6"/>
        <w:tabs>
          <w:tab w:val="left" w:pos="3228"/>
        </w:tabs>
        <w:rPr>
          <w:rFonts w:ascii="a_Timer(15%) Bashkir" w:hAnsi="a_Timer(15%) Bashkir"/>
          <w:b/>
          <w:sz w:val="24"/>
          <w:szCs w:val="24"/>
        </w:rPr>
      </w:pPr>
      <w:r>
        <w:t xml:space="preserve">               </w:t>
      </w:r>
      <w:r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  <w:sz w:val="24"/>
          <w:szCs w:val="24"/>
          <w:lang w:val="ba-RU" w:eastAsia="x-none"/>
        </w:rPr>
        <w:t xml:space="preserve">ҠАРАР        </w:t>
      </w:r>
      <w:r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>
        <w:rPr>
          <w:rFonts w:ascii="a_Timer(15%) Bashkir" w:hAnsi="a_Timer(15%) Bashkir"/>
          <w:b/>
          <w:sz w:val="24"/>
          <w:szCs w:val="24"/>
          <w:lang w:val="ba-RU" w:eastAsia="x-none"/>
        </w:rPr>
        <w:t xml:space="preserve">             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>
        <w:rPr>
          <w:rFonts w:ascii="a_Timer(15%) Bashkir" w:hAnsi="a_Timer(15%) Bashkir"/>
          <w:b/>
          <w:sz w:val="24"/>
          <w:szCs w:val="24"/>
          <w:lang w:val="ba-RU" w:eastAsia="x-none"/>
        </w:rPr>
        <w:t xml:space="preserve">                       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</w:t>
      </w:r>
      <w:r>
        <w:rPr>
          <w:rFonts w:ascii="a_Timer(15%) Bashkir" w:hAnsi="a_Timer(15%) Bashkir"/>
          <w:b/>
          <w:sz w:val="24"/>
          <w:szCs w:val="24"/>
          <w:lang w:val="ba-RU" w:eastAsia="x-none"/>
        </w:rPr>
        <w:t xml:space="preserve"> РЕШЕНИЕ</w:t>
      </w:r>
    </w:p>
    <w:p w:rsidR="00A53323" w:rsidRDefault="00A53323" w:rsidP="00A53323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A53323" w:rsidRDefault="00A53323" w:rsidP="00A53323">
      <w:pPr>
        <w:ind w:firstLine="0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          20 октябрь 2017 й.                                    № 99                               20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_Timer(15%) Bashkir" w:hAnsi="a_Timer(15%) Bashkir"/>
            <w:b/>
            <w:sz w:val="24"/>
            <w:szCs w:val="24"/>
          </w:rPr>
          <w:t>2017 г</w:t>
        </w:r>
      </w:smartTag>
      <w:r>
        <w:rPr>
          <w:rFonts w:ascii="a_Timer(15%) Bashkir" w:hAnsi="a_Timer(15%) Bashkir"/>
          <w:b/>
          <w:sz w:val="24"/>
          <w:szCs w:val="24"/>
        </w:rPr>
        <w:t>.</w:t>
      </w:r>
    </w:p>
    <w:p w:rsidR="00A53323" w:rsidRDefault="00A53323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E14EFC">
        <w:rPr>
          <w:sz w:val="28"/>
          <w:szCs w:val="28"/>
        </w:rPr>
        <w:t xml:space="preserve">, </w:t>
      </w:r>
      <w:r w:rsidRPr="002F0E9A">
        <w:rPr>
          <w:sz w:val="28"/>
          <w:szCs w:val="28"/>
        </w:rPr>
        <w:t xml:space="preserve">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9226E1">
        <w:rPr>
          <w:sz w:val="28"/>
          <w:szCs w:val="28"/>
        </w:rPr>
        <w:t xml:space="preserve">Трунтаишевский </w:t>
      </w:r>
      <w:r w:rsidR="002F0E9A"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9226E1">
        <w:rPr>
          <w:sz w:val="28"/>
          <w:szCs w:val="28"/>
        </w:rPr>
        <w:t xml:space="preserve">Трунтаишевский </w:t>
      </w:r>
      <w:r w:rsidR="004137BD" w:rsidRPr="002F0E9A">
        <w:rPr>
          <w:sz w:val="28"/>
          <w:szCs w:val="28"/>
        </w:rPr>
        <w:t>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9226E1">
        <w:rPr>
          <w:sz w:val="28"/>
          <w:szCs w:val="28"/>
        </w:rPr>
        <w:t xml:space="preserve">Трунтаишевский </w:t>
      </w:r>
      <w:r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>, определить налоговые ставки.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D8480E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2.1. 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жилых домов, </w:t>
      </w:r>
      <w:r w:rsidR="003F39E3">
        <w:rPr>
          <w:sz w:val="28"/>
          <w:szCs w:val="28"/>
        </w:rPr>
        <w:t>квартир, комнат</w:t>
      </w:r>
      <w:r w:rsidRPr="002F0E9A">
        <w:rPr>
          <w:sz w:val="28"/>
          <w:szCs w:val="28"/>
        </w:rPr>
        <w:t>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2F0E9A">
        <w:rPr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0C54D4" w:rsidRPr="002F0E9A">
        <w:rPr>
          <w:sz w:val="28"/>
          <w:szCs w:val="28"/>
        </w:rPr>
        <w:t xml:space="preserve">.2.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6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C54D4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2.</w:t>
      </w:r>
      <w:r w:rsidR="000D2C16" w:rsidRPr="002F0E9A">
        <w:rPr>
          <w:sz w:val="28"/>
          <w:szCs w:val="28"/>
        </w:rPr>
        <w:t>3</w:t>
      </w:r>
      <w:r w:rsidRPr="002F0E9A">
        <w:rPr>
          <w:sz w:val="28"/>
          <w:szCs w:val="28"/>
        </w:rPr>
        <w:t xml:space="preserve">.  0,5 процента </w:t>
      </w:r>
      <w:r w:rsidR="000D2C16"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9226E1">
        <w:rPr>
          <w:rFonts w:ascii="Times New Roman" w:hAnsi="Times New Roman" w:cs="Times New Roman"/>
          <w:sz w:val="28"/>
          <w:szCs w:val="28"/>
        </w:rPr>
        <w:t xml:space="preserve">Трунтаишевский </w:t>
      </w:r>
      <w:r w:rsidR="009E297A" w:rsidRPr="009E297A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="009E297A" w:rsidRPr="009226E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9226E1">
        <w:rPr>
          <w:rFonts w:ascii="Times New Roman" w:hAnsi="Times New Roman" w:cs="Times New Roman"/>
          <w:sz w:val="28"/>
          <w:szCs w:val="28"/>
        </w:rPr>
        <w:t xml:space="preserve">от </w:t>
      </w:r>
      <w:r w:rsidR="009226E1">
        <w:rPr>
          <w:rFonts w:ascii="Times New Roman" w:hAnsi="Times New Roman" w:cs="Times New Roman"/>
          <w:sz w:val="28"/>
          <w:szCs w:val="28"/>
        </w:rPr>
        <w:t>«19»</w:t>
      </w:r>
      <w:r w:rsidR="002B11A1" w:rsidRPr="009226E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E4074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9226E1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9226E1">
        <w:rPr>
          <w:rFonts w:ascii="Times New Roman" w:hAnsi="Times New Roman" w:cs="Times New Roman"/>
          <w:sz w:val="28"/>
          <w:szCs w:val="28"/>
        </w:rPr>
        <w:t>184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1C2B81">
        <w:rPr>
          <w:rFonts w:ascii="Times New Roman" w:hAnsi="Times New Roman"/>
          <w:sz w:val="28"/>
          <w:szCs w:val="28"/>
        </w:rPr>
        <w:t>в здании администрации сельского поселения Трунтаишевский сельсовет муниципального района Альшеевский район Республики Башкортостан и  в Трунтаишевской</w:t>
      </w:r>
      <w:r w:rsidR="001C2B81">
        <w:rPr>
          <w:rFonts w:ascii="Times New Roman" w:hAnsi="Times New Roman"/>
          <w:sz w:val="28"/>
          <w:szCs w:val="28"/>
        </w:rPr>
        <w:tab/>
        <w:t xml:space="preserve"> сельской библиотеке – филиале  РМУК «Альшеевская межпоселенческая центральная библиотека </w:t>
      </w:r>
      <w:r w:rsidR="00135A36" w:rsidRPr="002F0E9A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 w:rsidR="008B343E" w:rsidRPr="002F0E9A">
        <w:rPr>
          <w:rFonts w:ascii="Times New Roman" w:hAnsi="Times New Roman" w:cs="Times New Roman"/>
          <w:sz w:val="28"/>
          <w:szCs w:val="28"/>
        </w:rPr>
        <w:t>7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8B343E" w:rsidRPr="002F0E9A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323" w:rsidRDefault="00A53323" w:rsidP="00DB7596">
      <w:pPr>
        <w:spacing w:before="20" w:line="240" w:lineRule="auto"/>
        <w:ind w:firstLine="0"/>
        <w:rPr>
          <w:sz w:val="28"/>
          <w:szCs w:val="28"/>
        </w:rPr>
      </w:pPr>
    </w:p>
    <w:p w:rsidR="00A53323" w:rsidRDefault="00A53323" w:rsidP="00DB7596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9226E1">
        <w:rPr>
          <w:sz w:val="28"/>
          <w:szCs w:val="28"/>
        </w:rPr>
        <w:t>Х.А.Лутфурахманов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sectPr w:rsidR="009E297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53CE3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583E"/>
    <w:rsid w:val="0018665F"/>
    <w:rsid w:val="0019094B"/>
    <w:rsid w:val="001C2B81"/>
    <w:rsid w:val="00200008"/>
    <w:rsid w:val="0024698D"/>
    <w:rsid w:val="002B11A1"/>
    <w:rsid w:val="002F0E9A"/>
    <w:rsid w:val="0031753E"/>
    <w:rsid w:val="00324416"/>
    <w:rsid w:val="003665D7"/>
    <w:rsid w:val="00366EBA"/>
    <w:rsid w:val="00374571"/>
    <w:rsid w:val="003E0096"/>
    <w:rsid w:val="003F39E3"/>
    <w:rsid w:val="003F652B"/>
    <w:rsid w:val="00401099"/>
    <w:rsid w:val="004137BD"/>
    <w:rsid w:val="00444A3C"/>
    <w:rsid w:val="00451A82"/>
    <w:rsid w:val="00486E64"/>
    <w:rsid w:val="004D43B7"/>
    <w:rsid w:val="004E4074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1745F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226E1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4082E"/>
    <w:rsid w:val="00A53323"/>
    <w:rsid w:val="00A71DA0"/>
    <w:rsid w:val="00A82192"/>
    <w:rsid w:val="00A83505"/>
    <w:rsid w:val="00A90130"/>
    <w:rsid w:val="00A90DFA"/>
    <w:rsid w:val="00AB4F22"/>
    <w:rsid w:val="00AC086F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83C64"/>
    <w:rsid w:val="00EC0D3E"/>
    <w:rsid w:val="00EE0377"/>
    <w:rsid w:val="00EE2B9A"/>
    <w:rsid w:val="00EF5986"/>
    <w:rsid w:val="00F16A6E"/>
    <w:rsid w:val="00F333F4"/>
    <w:rsid w:val="00F92402"/>
    <w:rsid w:val="00F94A15"/>
    <w:rsid w:val="00FC1AEC"/>
    <w:rsid w:val="00FC2AFC"/>
    <w:rsid w:val="00FC6173"/>
    <w:rsid w:val="00FD06A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4220B-31DB-4D77-8FE2-DCD4315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332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323"/>
    <w:rPr>
      <w:rFonts w:cs="Times New Roman"/>
      <w:sz w:val="20"/>
      <w:szCs w:val="20"/>
      <w:lang w:val="x-none" w:eastAsia="x-none"/>
    </w:rPr>
  </w:style>
  <w:style w:type="paragraph" w:styleId="a8">
    <w:name w:val="No Spacing"/>
    <w:uiPriority w:val="1"/>
    <w:rsid w:val="00A533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2014-10-30T06:27:00Z</cp:lastPrinted>
  <dcterms:created xsi:type="dcterms:W3CDTF">2017-11-10T12:56:00Z</dcterms:created>
  <dcterms:modified xsi:type="dcterms:W3CDTF">2017-11-10T12:56:00Z</dcterms:modified>
</cp:coreProperties>
</file>