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B2" w:rsidRDefault="007231B2" w:rsidP="007231B2">
      <w:pPr>
        <w:jc w:val="center"/>
        <w:rPr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F178E9">
        <w:rPr>
          <w:b/>
          <w:sz w:val="28"/>
          <w:szCs w:val="28"/>
        </w:rPr>
        <w:t xml:space="preserve">ТРУНТАИШЕВСКИЙ </w:t>
      </w:r>
      <w:r>
        <w:rPr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</w:t>
      </w:r>
      <w:proofErr w:type="gramStart"/>
      <w:r>
        <w:rPr>
          <w:b/>
          <w:sz w:val="28"/>
          <w:szCs w:val="28"/>
        </w:rPr>
        <w:t>)о</w:t>
      </w:r>
      <w:proofErr w:type="gramEnd"/>
      <w:r>
        <w:rPr>
          <w:b/>
          <w:sz w:val="28"/>
          <w:szCs w:val="28"/>
        </w:rPr>
        <w:t>бязанностей, сдачи и оценки подарка, реализации (выкупа) и  зачисления средств, вырученных от его реализации</w:t>
      </w: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Федеральными законами «О муниципальной службе в Российской Федерации» и «О противодействии коррупции»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(должностных)обязанностей, сдачи и оценки подарка, реализации (выкупа) и зачисления средств, вырученных от его реализации»,Совет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прилагаемое Положение о сообщении лицами, замещающими муниципальные должности, и муниципальными служащими  администрации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бязанностей, сдаче и оценке подарка, реализации (выкупе) и зачисления средств, вырученных от его реализации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2.Установить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органы местного самоуправления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 осуществляют прием подарков, полученных лицами, замещающими муниципальные должности и муниципальными служащими 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3.Реализация полномочий, предусмотренных настоящим решением осуществляется в пределах установленной предельной численности </w:t>
      </w:r>
      <w:proofErr w:type="spellStart"/>
      <w:r>
        <w:rPr>
          <w:sz w:val="28"/>
          <w:szCs w:val="28"/>
        </w:rPr>
        <w:t>муниц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пальных</w:t>
      </w:r>
      <w:proofErr w:type="spellEnd"/>
      <w:r>
        <w:rPr>
          <w:sz w:val="28"/>
          <w:szCs w:val="28"/>
        </w:rPr>
        <w:t xml:space="preserve"> служащих, а также бюджетных ассигнований, предусмотренных органам местного самоуправления администрации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местном бюджете на руководство и управление в сфере установленных функций.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Настоящее решение обнародовать в установленных местах и на сайте администрации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решение вступает в силу со дня обнародования.</w:t>
      </w:r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7.Главе сельского поселения  ознакомить муниципальных служащих администрации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с настоящим решением под роспись.</w:t>
      </w:r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8.Контроль за исполнением настоящего решения  возложить на постоянную комиссию Совета по социально-гуманитарным вопросам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охране правопорядка(председатель </w:t>
      </w:r>
      <w:proofErr w:type="spellStart"/>
      <w:r w:rsidR="00F178E9">
        <w:rPr>
          <w:sz w:val="28"/>
          <w:szCs w:val="28"/>
        </w:rPr>
        <w:t>Буранбаевой</w:t>
      </w:r>
      <w:proofErr w:type="spellEnd"/>
      <w:r w:rsidR="00F178E9">
        <w:rPr>
          <w:sz w:val="28"/>
          <w:szCs w:val="28"/>
        </w:rPr>
        <w:t xml:space="preserve"> Л.В</w:t>
      </w:r>
      <w:r>
        <w:rPr>
          <w:sz w:val="28"/>
          <w:szCs w:val="28"/>
        </w:rPr>
        <w:t>.).</w:t>
      </w:r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proofErr w:type="spellStart"/>
      <w:r w:rsidR="00F178E9">
        <w:rPr>
          <w:sz w:val="28"/>
          <w:szCs w:val="28"/>
        </w:rPr>
        <w:t>Х.А.Лутфурахманов</w:t>
      </w:r>
      <w:proofErr w:type="spellEnd"/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</w:t>
      </w:r>
      <w:r w:rsidR="007A5849">
        <w:rPr>
          <w:sz w:val="20"/>
          <w:szCs w:val="20"/>
        </w:rPr>
        <w:t>Т</w:t>
      </w:r>
      <w:proofErr w:type="gramEnd"/>
      <w:r w:rsidR="007A5849">
        <w:rPr>
          <w:sz w:val="20"/>
          <w:szCs w:val="20"/>
        </w:rPr>
        <w:t>рунтаишево</w:t>
      </w:r>
      <w:proofErr w:type="spellEnd"/>
    </w:p>
    <w:p w:rsidR="007231B2" w:rsidRDefault="007A5849" w:rsidP="007231B2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№ 166</w:t>
      </w:r>
    </w:p>
    <w:p w:rsidR="007231B2" w:rsidRDefault="00F178E9" w:rsidP="007231B2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7231B2">
        <w:rPr>
          <w:sz w:val="20"/>
          <w:szCs w:val="20"/>
        </w:rPr>
        <w:t xml:space="preserve">  апреля </w:t>
      </w:r>
      <w:smartTag w:uri="urn:schemas-microsoft-com:office:smarttags" w:element="metricconverter">
        <w:smartTagPr>
          <w:attr w:name="ProductID" w:val="2014 г"/>
        </w:smartTagPr>
        <w:r w:rsidR="007231B2">
          <w:rPr>
            <w:sz w:val="20"/>
            <w:szCs w:val="20"/>
          </w:rPr>
          <w:t>2014 г</w:t>
        </w:r>
      </w:smartTag>
      <w:r w:rsidR="007231B2">
        <w:rPr>
          <w:sz w:val="20"/>
          <w:szCs w:val="20"/>
        </w:rPr>
        <w:t>.</w:t>
      </w:r>
    </w:p>
    <w:p w:rsidR="007231B2" w:rsidRDefault="007231B2" w:rsidP="007231B2">
      <w:pPr>
        <w:rPr>
          <w:sz w:val="20"/>
          <w:szCs w:val="20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1B2" w:rsidRDefault="007231B2" w:rsidP="007231B2">
      <w:pPr>
        <w:jc w:val="both"/>
        <w:rPr>
          <w:sz w:val="28"/>
          <w:szCs w:val="28"/>
        </w:rPr>
      </w:pPr>
      <w:r>
        <w:t xml:space="preserve">         </w:t>
      </w:r>
    </w:p>
    <w:p w:rsidR="007231B2" w:rsidRDefault="007231B2" w:rsidP="007231B2">
      <w:pPr>
        <w:ind w:left="5670"/>
      </w:pPr>
      <w:r>
        <w:t xml:space="preserve">Утверждено решением Совета сельского поселения </w:t>
      </w:r>
      <w:proofErr w:type="spellStart"/>
      <w:r w:rsidR="00F178E9">
        <w:t>Трунтаишевский</w:t>
      </w:r>
      <w:proofErr w:type="spellEnd"/>
      <w:r w:rsidR="00F178E9">
        <w:t xml:space="preserve"> </w:t>
      </w:r>
      <w:r>
        <w:t xml:space="preserve">сельсовет МР </w:t>
      </w:r>
      <w:proofErr w:type="spellStart"/>
      <w:r>
        <w:t>Альшеевский</w:t>
      </w:r>
      <w:proofErr w:type="spellEnd"/>
      <w:r>
        <w:t xml:space="preserve"> район РБ</w:t>
      </w:r>
    </w:p>
    <w:p w:rsidR="007231B2" w:rsidRDefault="00F178E9" w:rsidP="007231B2">
      <w:pPr>
        <w:ind w:left="5670"/>
      </w:pPr>
      <w:r>
        <w:t>№</w:t>
      </w:r>
      <w:r w:rsidR="007A5849">
        <w:t>166</w:t>
      </w:r>
      <w:r>
        <w:t xml:space="preserve"> от 15 апреля </w:t>
      </w:r>
      <w:r w:rsidR="007231B2">
        <w:t>2014 г.</w:t>
      </w: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определяет порядок сообщения лицами, замещающими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используются понятия:</w:t>
      </w:r>
    </w:p>
    <w:p w:rsidR="007231B2" w:rsidRDefault="007231B2" w:rsidP="007231B2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должность муниципальной службы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rPr>
          <w:sz w:val="28"/>
          <w:szCs w:val="28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231B2" w:rsidRDefault="007231B2" w:rsidP="007231B2">
      <w:pPr>
        <w:pStyle w:val="a3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 и должность муниципальной службы, лично или через посредника от физических (юридических) лиц подарка в связи с исполнением служебных (должностных) обязанностей в </w:t>
      </w:r>
      <w:r>
        <w:rPr>
          <w:sz w:val="28"/>
          <w:szCs w:val="28"/>
        </w:rPr>
        <w:lastRenderedPageBreak/>
        <w:t>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</w:t>
      </w:r>
      <w:proofErr w:type="gramEnd"/>
      <w:r>
        <w:rPr>
          <w:sz w:val="28"/>
          <w:szCs w:val="28"/>
        </w:rPr>
        <w:t xml:space="preserve"> лиц.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Лица, замещающие муниципальные должности и должности муниципальной службы,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 и должности муниципальной службы,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дня получения подарка в администрацию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администрации, в случае участия в мероприятии, в ходе которого главой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получен подарок, принимает меры по получению документов, подтверждающих стоимость данного подарка.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и должность муниципальной службы, оно предоставляется не позднее следующего дня после ее устранения.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получении подарка главой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составляется и представляется на подпись главе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управляющим делами администрации.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составляется в 2-ух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управляющему делами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Подарок, полученный лицом, замещающим муниципальную должность и должность муниципальной службы, независимо от его стоимости, подлежит передаче на хранение в порядке, предусмотренном пунктом 7 настоящего Положения.</w:t>
      </w:r>
    </w:p>
    <w:p w:rsidR="007231B2" w:rsidRDefault="007231B2" w:rsidP="007231B2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на хранение подарка, полученного главой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обеспечивается управляющим делами администрации.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администрации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замещающее муниципальную должность или должность муниципальной службы, сдавший подарок, может его выкупить, направив на имя главы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заявление не позднее двух месяцев со дня сдачи подарка.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может выкупить сданный им подарок, издав соответствующее распоряжение не позднее двух месяцев со дня сдачи подарка.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Согласованное главой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о выкупе подарка (распоряжение главы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о выкупе подарка) не позднее 3 рабочих дней со дня согласования заявления (издания распоряжения) направляется управляющему делами администрации.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Управляющий делами администрации в течение 3 месяцев со дня поступления заявления (издания распоряжения),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нецелесообразности использования подарка управляющим делами администрации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не выкуплен или не реализован, управляющим делами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вырученные от реализации (выкупа) подарка, зачисляются в доход бюджета сельского поселения </w:t>
      </w:r>
      <w:proofErr w:type="spellStart"/>
      <w:r w:rsidR="00F178E9">
        <w:rPr>
          <w:sz w:val="28"/>
          <w:szCs w:val="28"/>
        </w:rPr>
        <w:t>Трунтаишевский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в порядке, установленном бюджетным законодательством Российской Федерации.</w:t>
      </w:r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ind w:left="4253" w:right="-428"/>
      </w:pPr>
      <w:r>
        <w:lastRenderedPageBreak/>
        <w:t>Приложение к Положению 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231B2" w:rsidRDefault="007231B2" w:rsidP="007231B2">
      <w:pPr>
        <w:ind w:left="5670"/>
        <w:rPr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7231B2" w:rsidRDefault="007231B2" w:rsidP="007231B2">
      <w:pPr>
        <w:jc w:val="center"/>
        <w:rPr>
          <w:sz w:val="28"/>
          <w:szCs w:val="28"/>
        </w:rPr>
      </w:pPr>
    </w:p>
    <w:p w:rsidR="007231B2" w:rsidRDefault="007231B2" w:rsidP="007231B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________________________________________________________________________________________________</w:t>
      </w:r>
    </w:p>
    <w:p w:rsidR="007231B2" w:rsidRDefault="007231B2" w:rsidP="007231B2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231B2" w:rsidRDefault="007231B2" w:rsidP="007231B2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231B2" w:rsidRDefault="007231B2" w:rsidP="007231B2">
      <w:pPr>
        <w:ind w:left="5103" w:right="-365"/>
        <w:jc w:val="center"/>
        <w:rPr>
          <w:sz w:val="16"/>
          <w:szCs w:val="16"/>
        </w:rPr>
      </w:pPr>
      <w:r>
        <w:rPr>
          <w:sz w:val="16"/>
          <w:szCs w:val="16"/>
        </w:rPr>
        <w:t>(Ф.И.О., занимаемая должность)</w:t>
      </w:r>
    </w:p>
    <w:p w:rsidR="007231B2" w:rsidRDefault="007231B2" w:rsidP="007231B2">
      <w:pPr>
        <w:ind w:left="5670"/>
        <w:rPr>
          <w:sz w:val="28"/>
          <w:szCs w:val="28"/>
        </w:rPr>
      </w:pPr>
    </w:p>
    <w:p w:rsidR="007231B2" w:rsidRDefault="007231B2" w:rsidP="007231B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«____» _____________ 20___ г.</w:t>
      </w:r>
    </w:p>
    <w:p w:rsidR="007231B2" w:rsidRDefault="007231B2" w:rsidP="007231B2">
      <w:pPr>
        <w:pStyle w:val="a3"/>
        <w:ind w:left="0" w:firstLine="720"/>
        <w:jc w:val="both"/>
        <w:rPr>
          <w:sz w:val="28"/>
          <w:szCs w:val="28"/>
        </w:rPr>
      </w:pPr>
    </w:p>
    <w:p w:rsidR="007231B2" w:rsidRDefault="007231B2" w:rsidP="007231B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 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____________________________________________________________________</w:t>
      </w:r>
    </w:p>
    <w:p w:rsidR="007231B2" w:rsidRDefault="007231B2" w:rsidP="007231B2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7231B2" w:rsidRDefault="007231B2" w:rsidP="007231B2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2274"/>
        <w:gridCol w:w="3544"/>
        <w:gridCol w:w="1701"/>
        <w:gridCol w:w="1701"/>
      </w:tblGrid>
      <w:tr w:rsidR="007231B2" w:rsidTr="007231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</w:t>
            </w:r>
            <w:r>
              <w:rPr>
                <w:sz w:val="28"/>
                <w:szCs w:val="28"/>
                <w:vertAlign w:val="superscript"/>
              </w:rPr>
              <w:sym w:font="Symbol" w:char="002A"/>
            </w:r>
          </w:p>
        </w:tc>
      </w:tr>
      <w:tr w:rsidR="007231B2" w:rsidTr="007231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 w:rsidP="007231B2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</w:tr>
      <w:tr w:rsidR="007231B2" w:rsidTr="007231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 w:rsidP="007231B2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</w:tr>
      <w:tr w:rsidR="007231B2" w:rsidTr="007231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 w:rsidP="007231B2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</w:tr>
      <w:tr w:rsidR="007231B2" w:rsidTr="007231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</w:tr>
    </w:tbl>
    <w:p w:rsidR="007231B2" w:rsidRDefault="007231B2" w:rsidP="007231B2">
      <w:pPr>
        <w:jc w:val="both"/>
        <w:rPr>
          <w:sz w:val="28"/>
          <w:szCs w:val="28"/>
        </w:rPr>
      </w:pP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 на _____ листах.</w:t>
      </w:r>
    </w:p>
    <w:p w:rsidR="007231B2" w:rsidRDefault="007231B2" w:rsidP="007231B2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 документа)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7231B2" w:rsidRDefault="007231B2" w:rsidP="007231B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 подписи)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7231B2" w:rsidRDefault="007231B2" w:rsidP="007231B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 подписи)</w:t>
      </w:r>
    </w:p>
    <w:p w:rsidR="007231B2" w:rsidRDefault="007231B2" w:rsidP="007231B2">
      <w:pPr>
        <w:jc w:val="both"/>
        <w:rPr>
          <w:sz w:val="28"/>
          <w:szCs w:val="28"/>
        </w:rPr>
      </w:pP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 20__ г.</w:t>
      </w:r>
    </w:p>
    <w:p w:rsidR="007231B2" w:rsidRDefault="007231B2" w:rsidP="007231B2">
      <w:pPr>
        <w:jc w:val="both"/>
        <w:rPr>
          <w:sz w:val="28"/>
          <w:szCs w:val="28"/>
        </w:rPr>
      </w:pPr>
    </w:p>
    <w:p w:rsidR="007231B2" w:rsidRDefault="00F2571D" w:rsidP="007231B2">
      <w:pPr>
        <w:jc w:val="both"/>
        <w:rPr>
          <w:sz w:val="28"/>
          <w:szCs w:val="28"/>
        </w:rPr>
      </w:pPr>
      <w:r w:rsidRPr="00F257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15pt;margin-top:12.3pt;width:135.8pt;height:0;z-index:251658240" o:connectortype="straight"/>
        </w:pic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sym w:font="Symbol" w:char="002A"/>
      </w:r>
      <w:r>
        <w:rPr>
          <w:sz w:val="28"/>
          <w:szCs w:val="28"/>
          <w:vertAlign w:val="superscript"/>
        </w:rPr>
        <w:t xml:space="preserve"> Заполняется при наличии документов, подтверждающих стоимость подарка</w:t>
      </w:r>
    </w:p>
    <w:sectPr w:rsidR="007231B2" w:rsidSect="0085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33"/>
    <w:rsid w:val="000F7F58"/>
    <w:rsid w:val="00133DBB"/>
    <w:rsid w:val="00265C90"/>
    <w:rsid w:val="002945DD"/>
    <w:rsid w:val="00426DF9"/>
    <w:rsid w:val="004E34E6"/>
    <w:rsid w:val="005D5000"/>
    <w:rsid w:val="007231B2"/>
    <w:rsid w:val="00735813"/>
    <w:rsid w:val="007A5849"/>
    <w:rsid w:val="007C0EE7"/>
    <w:rsid w:val="007D797F"/>
    <w:rsid w:val="00855B2F"/>
    <w:rsid w:val="00BC3263"/>
    <w:rsid w:val="00CC1DE9"/>
    <w:rsid w:val="00D6449A"/>
    <w:rsid w:val="00E24CD4"/>
    <w:rsid w:val="00EC5797"/>
    <w:rsid w:val="00F178E9"/>
    <w:rsid w:val="00F21E33"/>
    <w:rsid w:val="00F2571D"/>
    <w:rsid w:val="00FD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1E33"/>
    <w:pPr>
      <w:ind w:left="720"/>
      <w:contextualSpacing/>
    </w:pPr>
  </w:style>
  <w:style w:type="paragraph" w:customStyle="1" w:styleId="ConsPlusTitle">
    <w:name w:val="ConsPlusTitle"/>
    <w:rsid w:val="00F21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21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2078</Words>
  <Characters>11851</Characters>
  <Application>Microsoft Office Word</Application>
  <DocSecurity>0</DocSecurity>
  <Lines>98</Lines>
  <Paragraphs>27</Paragraphs>
  <ScaleCrop>false</ScaleCrop>
  <Company>Microsoft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2014-07-16T13:35:00Z</dcterms:created>
  <dcterms:modified xsi:type="dcterms:W3CDTF">2014-07-16T13:35:00Z</dcterms:modified>
</cp:coreProperties>
</file>